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项目名称：定制医用桌板</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项目编号：BSRMYY-YNCG-2024-11009</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4"/>
        <w:gridCol w:w="6322"/>
        <w:gridCol w:w="1115"/>
        <w:gridCol w:w="1493"/>
      </w:tblGrid>
      <w:tr w14:paraId="0322E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9"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3208"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566"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755"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预算单价</w:t>
            </w:r>
          </w:p>
        </w:tc>
      </w:tr>
      <w:tr w14:paraId="597BE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9"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3208" w:type="pct"/>
            <w:vAlign w:val="center"/>
          </w:tcPr>
          <w:p w14:paraId="4C2D9CC3">
            <w:pPr>
              <w:jc w:val="center"/>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定制医用桌板</w:t>
            </w:r>
          </w:p>
        </w:tc>
        <w:tc>
          <w:tcPr>
            <w:tcW w:w="566"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61个</w:t>
            </w:r>
          </w:p>
        </w:tc>
        <w:tc>
          <w:tcPr>
            <w:tcW w:w="755"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450元</w:t>
            </w:r>
          </w:p>
        </w:tc>
      </w:tr>
      <w:tr w14:paraId="43E2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000" w:type="pct"/>
            <w:gridSpan w:val="4"/>
            <w:vAlign w:val="center"/>
          </w:tcPr>
          <w:p w14:paraId="2D593ED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注：用于血液透析室药品等物资摆放。资金来源为单位自筹，预算合计27450元，按照实际验收合格数量据实结算。</w:t>
            </w:r>
          </w:p>
        </w:tc>
      </w:tr>
    </w:tbl>
    <w:p w14:paraId="0CBE9050">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二、技术要求（提供响应佐证材料）</w:t>
      </w:r>
    </w:p>
    <w:p w14:paraId="5866C083">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1、基材：国产E0级及以上中纤板，甲醛释放量≤9mg/100g，符合国家环保标准。</w:t>
      </w:r>
    </w:p>
    <w:p w14:paraId="09DBA5DE">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2、面材：表面采用贴纸面，含水率8-16%；符合GB/T13010-2006《刨切单板》，GB18580-2001《室内装饰 装修材料人造板及其制品中甲醛释放限量》标准。</w:t>
      </w:r>
    </w:p>
    <w:p w14:paraId="6B3D0006">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 xml:space="preserve">3、面漆：[水性清面漆]:符合GB 24410-2009  GB/T 23999-2009 标准，耐划伤性、耐水性、耐碱性、耐醇性、耐污染性、耐干热性）检测结果均为合格；              </w:t>
      </w:r>
    </w:p>
    <w:p w14:paraId="5D851AE3">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4、底漆：[UV透明底漆]：符合HG/T  3655-2012 标准  (VOC)含量&lt;480g/L,苯含量≤125g/L，苯含量≤0.01%，划格试验（划格间距2mm）≤2级；</w:t>
      </w:r>
    </w:p>
    <w:p w14:paraId="403933E7">
      <w:pPr>
        <w:pStyle w:val="25"/>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5、封边带：表面平滑光洁，容易维护清洗，甲醛释放量E1≤0.1mg/L。无龟裂、无鼓泡。符合GB/T4463-2013《家具用封边条技术要求》。</w:t>
      </w:r>
    </w:p>
    <w:p w14:paraId="5FF4D2DE">
      <w:pPr>
        <w:pStyle w:val="25"/>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6、304不锈钢架脚，厚度大于等于1mm，底部4个滑轮其中2个有刹车功能。</w:t>
      </w:r>
    </w:p>
    <w:p w14:paraId="3EB1C48A">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产品尺寸为1150mm*600mm*350mm。</w:t>
      </w:r>
    </w:p>
    <w:p w14:paraId="2B00FA3E">
      <w:pPr>
        <w:pStyle w:val="2"/>
        <w:numPr>
          <w:ilvl w:val="0"/>
          <w:numId w:val="3"/>
        </w:numPr>
        <w:tabs>
          <w:tab w:val="clear" w:pos="3600"/>
        </w:tabs>
        <w:ind w:left="0" w:leftChars="0" w:firstLine="0" w:firstLineChars="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外观见下图</w:t>
      </w:r>
    </w:p>
    <w:p w14:paraId="56A4DCD6">
      <w:pPr>
        <w:numPr>
          <w:numId w:val="0"/>
        </w:numPr>
        <w:ind w:leftChars="0"/>
        <w:rPr>
          <w:rFonts w:hint="default"/>
          <w:lang w:val="en-US" w:eastAsia="zh-CN"/>
        </w:rPr>
      </w:pPr>
      <w:r>
        <w:drawing>
          <wp:inline distT="0" distB="0" distL="114300" distR="114300">
            <wp:extent cx="3550285" cy="5506720"/>
            <wp:effectExtent l="0" t="0" r="12065" b="177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3550285" cy="5506720"/>
                    </a:xfrm>
                    <a:prstGeom prst="rect">
                      <a:avLst/>
                    </a:prstGeom>
                    <a:noFill/>
                    <a:ln w="9525">
                      <a:noFill/>
                    </a:ln>
                  </pic:spPr>
                </pic:pic>
              </a:graphicData>
            </a:graphic>
          </wp:inline>
        </w:drawing>
      </w:r>
      <w:bookmarkStart w:id="7" w:name="_GoBack"/>
      <w:bookmarkEnd w:id="7"/>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w:t>
      </w:r>
      <w:r>
        <w:rPr>
          <w:rFonts w:hint="eastAsia" w:ascii="方正仿宋_GBK" w:hAnsi="方正仿宋_GBK" w:eastAsia="方正仿宋_GBK" w:cs="方正仿宋_GBK"/>
          <w:sz w:val="28"/>
          <w:szCs w:val="28"/>
          <w:lang w:val="en-US" w:eastAsia="zh-CN"/>
        </w:rPr>
        <w:t>27450</w:t>
      </w:r>
      <w:r>
        <w:rPr>
          <w:rFonts w:hint="eastAsia" w:ascii="方正仿宋_GBK" w:hAnsi="方正仿宋_GBK" w:eastAsia="方正仿宋_GBK" w:cs="方正仿宋_GBK"/>
          <w:color w:val="auto"/>
          <w:kern w:val="0"/>
          <w:sz w:val="32"/>
          <w:szCs w:val="32"/>
          <w:lang w:val="en-US" w:eastAsia="zh-CN"/>
        </w:rPr>
        <w:t>元。报价要求：本次报价为人民币包干价，包含：货款、安装调试费（供应商需考虑安装周围场地因素，充分考虑房间改造及修复的费用）、产品质保期内维护费（含原厂配件、易损件的更换）、资料装订及邮寄费、人工住宿差旅费、税费、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10</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验收合格后一次性支付成交价的95%，自验收合格之日满5年无息一次性支付剩余部分。付款时，供应商提交付款申请，并提交全额发票、合同、验收记录。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（1）送货安装前须采购人确认产品是否是投标的合格产品，经确认后方能安装调试；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（1）质保期不低于5年，产品有任何质量问题，供应商应30分钟提供电话响应，4小时来院处置，未及时响应将承担违约责任。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合同签订前，成交供应商向采购人缴纳项目履约保证金1400元，产品质量争议采购人有权要求供应商承担产品司法鉴定费用，拒绝承担的采购人有权从履约保证金中抵扣。产品验收合格后，一次性退还。</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10.其他要求</w:t>
      </w:r>
    </w:p>
    <w:p w14:paraId="32353EF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AFE43E5">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105FBF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73677399"/>
      <w:bookmarkStart w:id="3" w:name="_Toc237057793"/>
      <w:bookmarkStart w:id="4" w:name="_Toc128229304"/>
      <w:bookmarkStart w:id="5" w:name="_Toc175017344"/>
      <w:bookmarkStart w:id="6" w:name="_Toc128229747"/>
    </w:p>
    <w:p w14:paraId="6EB84F7D">
      <w:pPr>
        <w:pStyle w:val="4"/>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A1F189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435205F8">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6"/>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7492C5DC">
      <w:pPr>
        <w:pStyle w:val="6"/>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C84E550">
      <w:pPr>
        <w:pStyle w:val="6"/>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6"/>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6"/>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132E6A22"/>
    <w:multiLevelType w:val="singleLevel"/>
    <w:tmpl w:val="132E6A22"/>
    <w:lvl w:ilvl="0" w:tentative="0">
      <w:start w:val="7"/>
      <w:numFmt w:val="decimal"/>
      <w:suff w:val="nothing"/>
      <w:lvlText w:val="%1、"/>
      <w:lvlJc w:val="left"/>
    </w:lvl>
  </w:abstractNum>
  <w:abstractNum w:abstractNumId="2">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56E5276"/>
    <w:rsid w:val="06FB539B"/>
    <w:rsid w:val="07F82B6D"/>
    <w:rsid w:val="0C872834"/>
    <w:rsid w:val="0C974041"/>
    <w:rsid w:val="0CE64C8D"/>
    <w:rsid w:val="0E9F1F75"/>
    <w:rsid w:val="0FD01451"/>
    <w:rsid w:val="122D0B62"/>
    <w:rsid w:val="133D5E0A"/>
    <w:rsid w:val="136D1DAA"/>
    <w:rsid w:val="155F36DB"/>
    <w:rsid w:val="1922346A"/>
    <w:rsid w:val="1AAE2C67"/>
    <w:rsid w:val="1AF86BE0"/>
    <w:rsid w:val="1B3306B6"/>
    <w:rsid w:val="1BDE0896"/>
    <w:rsid w:val="1CF00EFC"/>
    <w:rsid w:val="1F2F00AB"/>
    <w:rsid w:val="21426D4A"/>
    <w:rsid w:val="236757CC"/>
    <w:rsid w:val="23FB11F4"/>
    <w:rsid w:val="2A3F4594"/>
    <w:rsid w:val="2C3529EE"/>
    <w:rsid w:val="2FC44243"/>
    <w:rsid w:val="31092EA8"/>
    <w:rsid w:val="33FB61AD"/>
    <w:rsid w:val="342C6BC9"/>
    <w:rsid w:val="35761799"/>
    <w:rsid w:val="376E6279"/>
    <w:rsid w:val="38A14340"/>
    <w:rsid w:val="396A2364"/>
    <w:rsid w:val="3D8263F7"/>
    <w:rsid w:val="3FFD0A3B"/>
    <w:rsid w:val="40611EDD"/>
    <w:rsid w:val="44C5770F"/>
    <w:rsid w:val="44EF71C4"/>
    <w:rsid w:val="475D7492"/>
    <w:rsid w:val="482D6FF9"/>
    <w:rsid w:val="496140CE"/>
    <w:rsid w:val="4AE139DB"/>
    <w:rsid w:val="4BDB0A24"/>
    <w:rsid w:val="4C31315D"/>
    <w:rsid w:val="4F6D75ED"/>
    <w:rsid w:val="51352B6B"/>
    <w:rsid w:val="53A17F68"/>
    <w:rsid w:val="53DB6C22"/>
    <w:rsid w:val="55085A60"/>
    <w:rsid w:val="5E932E93"/>
    <w:rsid w:val="5FA4498B"/>
    <w:rsid w:val="61130716"/>
    <w:rsid w:val="61143219"/>
    <w:rsid w:val="61707CCC"/>
    <w:rsid w:val="61A6052D"/>
    <w:rsid w:val="626B6216"/>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3212</Words>
  <Characters>3413</Characters>
  <Lines>0</Lines>
  <Paragraphs>0</Paragraphs>
  <TotalTime>303</TotalTime>
  <ScaleCrop>false</ScaleCrop>
  <LinksUpToDate>false</LinksUpToDate>
  <CharactersWithSpaces>3475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2024-11-28T02:18:18Z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